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A3C0D"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5A3C0D">
        <w:rPr>
          <w:rStyle w:val="normaltextrun"/>
          <w:rFonts w:asciiTheme="minorHAnsi" w:hAnsiTheme="minorHAnsi" w:cstheme="minorHAnsi"/>
          <w:b/>
          <w:bCs/>
          <w:sz w:val="22"/>
          <w:szCs w:val="22"/>
        </w:rPr>
        <w:t>Undergraduate Teaching Continuity and Recovery</w:t>
      </w:r>
      <w:r w:rsidRPr="005A3C0D">
        <w:rPr>
          <w:rStyle w:val="eop"/>
          <w:rFonts w:asciiTheme="minorHAnsi" w:hAnsiTheme="minorHAnsi" w:cstheme="minorHAnsi"/>
          <w:sz w:val="22"/>
          <w:szCs w:val="22"/>
        </w:rPr>
        <w:t> </w:t>
      </w:r>
    </w:p>
    <w:p w14:paraId="0591CAB4" w14:textId="2DA073A9" w:rsidR="0090641B" w:rsidRPr="005A3C0D"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5A3C0D">
        <w:rPr>
          <w:rStyle w:val="normaltextrun"/>
          <w:rFonts w:asciiTheme="minorHAnsi" w:hAnsiTheme="minorHAnsi" w:cstheme="minorHAnsi"/>
          <w:sz w:val="22"/>
          <w:szCs w:val="22"/>
        </w:rPr>
        <w:t>Meetin</w:t>
      </w:r>
      <w:bookmarkStart w:id="0" w:name="_GoBack"/>
      <w:bookmarkEnd w:id="0"/>
      <w:r w:rsidRPr="005A3C0D">
        <w:rPr>
          <w:rStyle w:val="normaltextrun"/>
          <w:rFonts w:asciiTheme="minorHAnsi" w:hAnsiTheme="minorHAnsi" w:cstheme="minorHAnsi"/>
          <w:sz w:val="22"/>
          <w:szCs w:val="22"/>
        </w:rPr>
        <w:t>g on </w:t>
      </w:r>
      <w:r w:rsidR="004A39EE" w:rsidRPr="005A3C0D">
        <w:rPr>
          <w:rStyle w:val="normaltextrun"/>
          <w:rFonts w:asciiTheme="minorHAnsi" w:hAnsiTheme="minorHAnsi" w:cstheme="minorHAnsi"/>
          <w:sz w:val="22"/>
          <w:szCs w:val="22"/>
        </w:rPr>
        <w:t>October</w:t>
      </w:r>
      <w:r w:rsidR="00A45B8C" w:rsidRPr="005A3C0D">
        <w:rPr>
          <w:rStyle w:val="normaltextrun"/>
          <w:rFonts w:asciiTheme="minorHAnsi" w:hAnsiTheme="minorHAnsi" w:cstheme="minorHAnsi"/>
          <w:sz w:val="22"/>
          <w:szCs w:val="22"/>
        </w:rPr>
        <w:t xml:space="preserve"> </w:t>
      </w:r>
      <w:r w:rsidR="005A3C0D">
        <w:rPr>
          <w:rStyle w:val="normaltextrun"/>
          <w:rFonts w:asciiTheme="minorHAnsi" w:hAnsiTheme="minorHAnsi" w:cstheme="minorHAnsi"/>
          <w:sz w:val="22"/>
          <w:szCs w:val="22"/>
        </w:rPr>
        <w:t>14</w:t>
      </w:r>
      <w:r w:rsidR="00C44E06" w:rsidRPr="005A3C0D">
        <w:rPr>
          <w:rStyle w:val="normaltextrun"/>
          <w:rFonts w:asciiTheme="minorHAnsi" w:hAnsiTheme="minorHAnsi" w:cstheme="minorHAnsi"/>
          <w:sz w:val="22"/>
          <w:szCs w:val="22"/>
        </w:rPr>
        <w:t xml:space="preserve"> </w:t>
      </w:r>
      <w:r w:rsidRPr="005A3C0D">
        <w:rPr>
          <w:rStyle w:val="normaltextrun"/>
          <w:rFonts w:asciiTheme="minorHAnsi" w:hAnsiTheme="minorHAnsi" w:cstheme="minorHAnsi"/>
          <w:sz w:val="22"/>
          <w:szCs w:val="22"/>
        </w:rPr>
        <w:t>@ </w:t>
      </w:r>
      <w:r w:rsidR="002F1FCA" w:rsidRPr="005A3C0D">
        <w:rPr>
          <w:rStyle w:val="normaltextrun"/>
          <w:rFonts w:asciiTheme="minorHAnsi" w:hAnsiTheme="minorHAnsi" w:cstheme="minorHAnsi"/>
          <w:sz w:val="22"/>
          <w:szCs w:val="22"/>
        </w:rPr>
        <w:t>1</w:t>
      </w:r>
      <w:r w:rsidR="004A39EE" w:rsidRPr="005A3C0D">
        <w:rPr>
          <w:rStyle w:val="normaltextrun"/>
          <w:rFonts w:asciiTheme="minorHAnsi" w:hAnsiTheme="minorHAnsi" w:cstheme="minorHAnsi"/>
          <w:sz w:val="22"/>
          <w:szCs w:val="22"/>
        </w:rPr>
        <w:t>0</w:t>
      </w:r>
      <w:r w:rsidR="007A2ED8" w:rsidRPr="005A3C0D">
        <w:rPr>
          <w:rStyle w:val="normaltextrun"/>
          <w:rFonts w:asciiTheme="minorHAnsi" w:hAnsiTheme="minorHAnsi" w:cstheme="minorHAnsi"/>
          <w:sz w:val="22"/>
          <w:szCs w:val="22"/>
        </w:rPr>
        <w:t>:00</w:t>
      </w:r>
      <w:r w:rsidR="002F1FCA" w:rsidRPr="005A3C0D">
        <w:rPr>
          <w:rStyle w:val="normaltextrun"/>
          <w:rFonts w:asciiTheme="minorHAnsi" w:hAnsiTheme="minorHAnsi" w:cstheme="minorHAnsi"/>
          <w:sz w:val="22"/>
          <w:szCs w:val="22"/>
        </w:rPr>
        <w:t>A</w:t>
      </w:r>
      <w:r w:rsidRPr="005A3C0D">
        <w:rPr>
          <w:rStyle w:val="normaltextrun"/>
          <w:rFonts w:asciiTheme="minorHAnsi" w:hAnsiTheme="minorHAnsi" w:cstheme="minorHAnsi"/>
          <w:sz w:val="22"/>
          <w:szCs w:val="22"/>
        </w:rPr>
        <w:t>M</w:t>
      </w:r>
    </w:p>
    <w:p w14:paraId="3EB9BD76" w14:textId="77777777" w:rsidR="00363A00" w:rsidRPr="005A3C0D" w:rsidRDefault="00363A00"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059B4AC3" w14:textId="77777777" w:rsidR="005A3C0D" w:rsidRPr="005A3C0D" w:rsidRDefault="005A3C0D" w:rsidP="005A3C0D">
      <w:pPr>
        <w:shd w:val="clear" w:color="auto" w:fill="FFFFFF"/>
        <w:spacing w:after="150"/>
        <w:rPr>
          <w:rFonts w:eastAsia="Times New Roman" w:cstheme="minorHAnsi"/>
          <w:color w:val="252423"/>
        </w:rPr>
      </w:pPr>
      <w:r w:rsidRPr="005A3C0D">
        <w:rPr>
          <w:rFonts w:eastAsia="Times New Roman" w:cstheme="minorHAnsi"/>
          <w:b/>
          <w:bCs/>
          <w:color w:val="252423"/>
          <w:u w:val="single"/>
        </w:rPr>
        <w:t>Agenda Items for 10/14</w:t>
      </w:r>
      <w:r w:rsidRPr="005A3C0D">
        <w:rPr>
          <w:rFonts w:eastAsia="Times New Roman" w:cstheme="minorHAnsi"/>
          <w:color w:val="252423"/>
        </w:rPr>
        <w:t>:</w:t>
      </w:r>
    </w:p>
    <w:p w14:paraId="318FD057" w14:textId="77777777" w:rsidR="005A3C0D" w:rsidRPr="005A3C0D" w:rsidRDefault="005A3C0D" w:rsidP="005A3C0D">
      <w:pPr>
        <w:numPr>
          <w:ilvl w:val="0"/>
          <w:numId w:val="34"/>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Update from RO</w:t>
      </w:r>
    </w:p>
    <w:p w14:paraId="7538679A" w14:textId="77777777" w:rsidR="005A3C0D" w:rsidRPr="005A3C0D" w:rsidRDefault="005A3C0D" w:rsidP="005A3C0D">
      <w:pPr>
        <w:numPr>
          <w:ilvl w:val="0"/>
          <w:numId w:val="34"/>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Discussion on Communications about Teaching after Fall Break</w:t>
      </w:r>
    </w:p>
    <w:p w14:paraId="0FEB8286" w14:textId="77777777" w:rsidR="005A3C0D" w:rsidRPr="005A3C0D" w:rsidRDefault="005A3C0D" w:rsidP="005A3C0D">
      <w:pPr>
        <w:numPr>
          <w:ilvl w:val="0"/>
          <w:numId w:val="34"/>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Discussion on Spring Section Requests</w:t>
      </w:r>
    </w:p>
    <w:p w14:paraId="58FB00A8" w14:textId="77777777" w:rsidR="005A3C0D" w:rsidRPr="005A3C0D" w:rsidRDefault="005A3C0D" w:rsidP="005A3C0D">
      <w:pPr>
        <w:numPr>
          <w:ilvl w:val="0"/>
          <w:numId w:val="34"/>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Discussion on Spring Break</w:t>
      </w:r>
    </w:p>
    <w:p w14:paraId="30550CCA"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b/>
          <w:bCs/>
          <w:color w:val="252423"/>
        </w:rPr>
        <w:t>Communications about Fall Break</w:t>
      </w:r>
      <w:r w:rsidRPr="005A3C0D">
        <w:rPr>
          <w:rFonts w:eastAsia="Times New Roman" w:cstheme="minorHAnsi"/>
          <w:color w:val="252423"/>
        </w:rPr>
        <w:t> - Discussion on the Post-Fall Break 2020 Communications Plan.</w:t>
      </w:r>
    </w:p>
    <w:p w14:paraId="49D88077"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11C54254"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Provost Pedersen and Pam Jackson had outlined a template that would provide a sense of progression. Pam Jackson noted that the document would be a component of the Strategic Communications Plan for individuals implementing communications. It is an outgrowth of the Communicators Meeting on October 9. It was categorizing and prioritizing communications.</w:t>
      </w:r>
    </w:p>
    <w:p w14:paraId="578E55F9"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0A8519E9"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Provost Pedersen would send an overview email on either October 19 or October 20. This email would acknowledge the questions and would set expectations that more information would be sent. It would also set a clear understanding in the initial email that the campus operations would remain open with reduced hours, classes would continue remotely, and exams would be conducted remotely.</w:t>
      </w:r>
    </w:p>
    <w:p w14:paraId="2F3FBB10"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3AF8303A"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Ben Withers noted the Team would need to wait for additional information from Ken Quintana and Facilities based on their discussions with the Pandemic Team. We would need to know about the recommendations in keeping buildings open after Fall Break.</w:t>
      </w:r>
    </w:p>
    <w:p w14:paraId="5E5EEB9F"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7A8228B2"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u w:val="single"/>
        </w:rPr>
        <w:t>There would be three areas to address</w:t>
      </w:r>
      <w:r w:rsidRPr="005A3C0D">
        <w:rPr>
          <w:rFonts w:eastAsia="Times New Roman" w:cstheme="minorHAnsi"/>
          <w:color w:val="252423"/>
        </w:rPr>
        <w:t>:</w:t>
      </w:r>
    </w:p>
    <w:p w14:paraId="6E60311E" w14:textId="77777777" w:rsidR="005A3C0D" w:rsidRPr="005A3C0D" w:rsidRDefault="005A3C0D" w:rsidP="005A3C0D">
      <w:pPr>
        <w:numPr>
          <w:ilvl w:val="0"/>
          <w:numId w:val="35"/>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Communication with the GTAs - We would need to consider GTA concerns.</w:t>
      </w:r>
    </w:p>
    <w:p w14:paraId="7B4940DC" w14:textId="0FEB118C" w:rsidR="005A3C0D" w:rsidRPr="005A3C0D" w:rsidRDefault="005A3C0D" w:rsidP="005A3C0D">
      <w:pPr>
        <w:numPr>
          <w:ilvl w:val="0"/>
          <w:numId w:val="35"/>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 xml:space="preserve">Communication with the Colleges and </w:t>
      </w:r>
      <w:r w:rsidR="006B15AB" w:rsidRPr="005A3C0D">
        <w:rPr>
          <w:rFonts w:eastAsia="Times New Roman" w:cstheme="minorHAnsi"/>
          <w:color w:val="252423"/>
        </w:rPr>
        <w:t>Effect</w:t>
      </w:r>
      <w:r w:rsidRPr="005A3C0D">
        <w:rPr>
          <w:rFonts w:eastAsia="Times New Roman" w:cstheme="minorHAnsi"/>
          <w:color w:val="252423"/>
        </w:rPr>
        <w:t xml:space="preserve"> of Facilities Decision - Would faculty have access to classrooms? Would students and faculty have access to certain areas (studios, labs, etc.)</w:t>
      </w:r>
      <w:r w:rsidR="006B15AB" w:rsidRPr="005A3C0D">
        <w:rPr>
          <w:rFonts w:eastAsia="Times New Roman" w:cstheme="minorHAnsi"/>
          <w:color w:val="252423"/>
        </w:rPr>
        <w:t>?</w:t>
      </w:r>
      <w:r w:rsidRPr="005A3C0D">
        <w:rPr>
          <w:rFonts w:eastAsia="Times New Roman" w:cstheme="minorHAnsi"/>
          <w:color w:val="252423"/>
        </w:rPr>
        <w:t xml:space="preserve"> This would be college-specific communication.</w:t>
      </w:r>
    </w:p>
    <w:p w14:paraId="444A2697" w14:textId="77777777" w:rsidR="005A3C0D" w:rsidRPr="005A3C0D" w:rsidRDefault="005A3C0D" w:rsidP="005A3C0D">
      <w:pPr>
        <w:numPr>
          <w:ilvl w:val="0"/>
          <w:numId w:val="35"/>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Technological Concerns/Issues</w:t>
      </w:r>
    </w:p>
    <w:p w14:paraId="6BB753A2"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Would Colleges be able to have certain areas open? How would this affect colleges? The document messages that we would return to a research-based campus rather than an instructional-based campus.</w:t>
      </w:r>
    </w:p>
    <w:p w14:paraId="73105374"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545E6EAB" w14:textId="2EF4132D"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We would need a point of contact with Facilities. We would need to ensure that Facilities is aware of the plans, able to staff the spaces, and able to supply PPE supplies</w:t>
      </w:r>
      <w:r w:rsidR="006B15AB" w:rsidRPr="005A3C0D">
        <w:rPr>
          <w:rFonts w:eastAsia="Times New Roman" w:cstheme="minorHAnsi"/>
          <w:color w:val="252423"/>
        </w:rPr>
        <w:t xml:space="preserve">. </w:t>
      </w:r>
      <w:r w:rsidRPr="005A3C0D">
        <w:rPr>
          <w:rFonts w:eastAsia="Times New Roman" w:cstheme="minorHAnsi"/>
          <w:color w:val="252423"/>
        </w:rPr>
        <w:t>We would need testing protocols to determine if there is a compromise of spaces. </w:t>
      </w:r>
    </w:p>
    <w:p w14:paraId="45C874C1"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3633F9C3"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Brandon Bernier noted that the technological issues would also depend on access by Facilities. Faculty would intend to record their lectures post-Fall Break in their classroom. Access to recording lecture changes nothing unless access to the building changes.</w:t>
      </w:r>
    </w:p>
    <w:p w14:paraId="03018C07"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6D65A861"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Kristi Buffington would need to know where everyone wanted to be. It would help determine the unlock schedule, restrooms to clean, etc. She might need a master spreadsheet of available rooms.</w:t>
      </w:r>
    </w:p>
    <w:p w14:paraId="6FF98826"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52E914C3"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lastRenderedPageBreak/>
        <w:t>How would PPT want to handle? Should only a certain number of rooms be available for scheduled use of classroom recordings? Kelly Long noted the need to possibly create a set of recommendations and master spreadsheet.</w:t>
      </w:r>
    </w:p>
    <w:p w14:paraId="52CE5986"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514D5DF8"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Beth Walker noted the key question would be what building would remain open. What would be the parameters for staff remaining on campus? What about the availability of lab spaces and study spaces? What about student workers? Could student workers be physically present on campus? Faculty assume that they could teach in their classrooms without the presence of students.</w:t>
      </w:r>
    </w:p>
    <w:p w14:paraId="201AC957"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3EAAC4B4"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We need to communicate this information to the PPT. What would be our recommendation? Is it too limit access? Is it founded on the same knowledge?</w:t>
      </w:r>
    </w:p>
    <w:p w14:paraId="38490CC6"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657BEA89" w14:textId="36AFB45E"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xml:space="preserve">Julia Murphy noted that classes are scheduled in classrooms through Finals with the exception of the LSC. If different schedules </w:t>
      </w:r>
      <w:r w:rsidR="006B15AB" w:rsidRPr="005A3C0D">
        <w:rPr>
          <w:rFonts w:eastAsia="Times New Roman" w:cstheme="minorHAnsi"/>
          <w:color w:val="252423"/>
        </w:rPr>
        <w:t>were</w:t>
      </w:r>
      <w:r w:rsidRPr="005A3C0D">
        <w:rPr>
          <w:rFonts w:eastAsia="Times New Roman" w:cstheme="minorHAnsi"/>
          <w:color w:val="252423"/>
        </w:rPr>
        <w:t xml:space="preserve"> created, it would be done through a spreadsheet and would encompass 2,000 sections. It might be unmanageable. </w:t>
      </w:r>
    </w:p>
    <w:p w14:paraId="5DE1651B"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2AF0A6C2"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Do we need to lock the buildings? Could the buildings remain open for faculty? </w:t>
      </w:r>
    </w:p>
    <w:p w14:paraId="6D3A342B"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6CF051B3"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Kristi Buffington noted that Facilities would not want the buildings to be completely open. It would be a security issue. Some buildings could be unlocked with key cards. There are a number of buildings that have hard locks. These buildings would have to be unlocked.</w:t>
      </w:r>
    </w:p>
    <w:p w14:paraId="5A7B3870"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4430F6A1"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Lise Youngblade asked what would be the access needs for classroom and office spaces. Should we task department heads about the need? Each college might be different. We should have each college inventory their departments. We could pose this question at COD. What would be the deadline? We would need to coordinate with PPT. </w:t>
      </w:r>
    </w:p>
    <w:p w14:paraId="25726571"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30AA698F" w14:textId="6767C16A"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xml:space="preserve">Ben Withers noted a two-stage process. First, we need advice from the Pandemic Team about the health aspects. Would buildings be </w:t>
      </w:r>
      <w:r w:rsidR="006B15AB" w:rsidRPr="005A3C0D">
        <w:rPr>
          <w:rFonts w:eastAsia="Times New Roman" w:cstheme="minorHAnsi"/>
          <w:color w:val="252423"/>
        </w:rPr>
        <w:t>closed?</w:t>
      </w:r>
      <w:r w:rsidRPr="005A3C0D">
        <w:rPr>
          <w:rFonts w:eastAsia="Times New Roman" w:cstheme="minorHAnsi"/>
          <w:color w:val="252423"/>
        </w:rPr>
        <w:t xml:space="preserve"> What is the ability of colleges? Second, we would help coordinate with Colleges about their plans and messages with their faculty.</w:t>
      </w:r>
    </w:p>
    <w:p w14:paraId="14A04DB2"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64D168B9"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Kelly Long noted that the document does include areas that are to be announced. We could begin messaging certain information with other information to be announced later.</w:t>
      </w:r>
    </w:p>
    <w:p w14:paraId="50AB70D9"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5C152765"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Jan Nerger noted that teaching would be remote. In regards to labs, instructors would need access to facilities to prepare for remote lab instruction. Instructors would need access to the labs to record their lectures. Faculty probably assume they would have access to their classrooms for video capture of lectures. Jan Nerger noted that research would have access to research labs based on their return to work.</w:t>
      </w:r>
    </w:p>
    <w:p w14:paraId="3295437B"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234A8DD7"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Pam Jackson noted that we would need to be thoughtful about messaging. She noted the purpose would be an overview message that would buy some time but set the expectations. We would communicate the information known with further information communicated over the next two to three weeks.</w:t>
      </w:r>
    </w:p>
    <w:p w14:paraId="7E3047DE"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1D421CE4"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Kelly Long requested the Team to review the document. We would have recommendations for Provost Pedersen but not a complete set.</w:t>
      </w:r>
    </w:p>
    <w:p w14:paraId="0C5B1971"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1DEBC9E3" w14:textId="0745595F"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xml:space="preserve">What about work-study students? </w:t>
      </w:r>
      <w:r w:rsidR="006B15AB" w:rsidRPr="005A3C0D">
        <w:rPr>
          <w:rFonts w:eastAsia="Times New Roman" w:cstheme="minorHAnsi"/>
          <w:color w:val="252423"/>
        </w:rPr>
        <w:t>Our</w:t>
      </w:r>
      <w:r w:rsidRPr="005A3C0D">
        <w:rPr>
          <w:rFonts w:eastAsia="Times New Roman" w:cstheme="minorHAnsi"/>
          <w:color w:val="252423"/>
        </w:rPr>
        <w:t xml:space="preserve"> basic assumption was that once students leave at Fall Break we would not want them to return. We made the assumption that these student workers would leave the community then return. What about the presence of undergraduate students on campus? How would we make a unified decision? Would we have no undergraduate students? Some undergraduate students would need access to labs and studios for research and coursework purposes. </w:t>
      </w:r>
    </w:p>
    <w:p w14:paraId="79ACC807"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7482A814"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What about technology access? What about common exams?</w:t>
      </w:r>
    </w:p>
    <w:p w14:paraId="53770B10"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18F05223"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Per Gwen Gorzelsky (via chat):</w:t>
      </w:r>
    </w:p>
    <w:p w14:paraId="568BBCB7" w14:textId="07938D59" w:rsidR="005A3C0D" w:rsidRPr="005A3C0D" w:rsidRDefault="005A3C0D" w:rsidP="005A3C0D">
      <w:pPr>
        <w:numPr>
          <w:ilvl w:val="0"/>
          <w:numId w:val="36"/>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 xml:space="preserve">Proctoring platforms would remain the same. We could provide an overview of key points and links to additional information. </w:t>
      </w:r>
      <w:r w:rsidR="006B15AB" w:rsidRPr="005A3C0D">
        <w:rPr>
          <w:rFonts w:eastAsia="Times New Roman" w:cstheme="minorHAnsi"/>
          <w:color w:val="252423"/>
        </w:rPr>
        <w:t>I would</w:t>
      </w:r>
      <w:r w:rsidRPr="005A3C0D">
        <w:rPr>
          <w:rFonts w:eastAsia="Times New Roman" w:cstheme="minorHAnsi"/>
          <w:color w:val="252423"/>
        </w:rPr>
        <w:t xml:space="preserve"> suggest that faculty be strongly encouraged to be flexible with students whose technology or other circumstances prevent their use of an online proctoring platform. The University Testing Center (UTC) staff typically work with faculty and students to suggest alternatives. We expect UTC to remain open and fully functioning, as it has since May.</w:t>
      </w:r>
    </w:p>
    <w:p w14:paraId="49D39491" w14:textId="77777777" w:rsidR="005A3C0D" w:rsidRPr="005A3C0D" w:rsidRDefault="005A3C0D" w:rsidP="005A3C0D">
      <w:pPr>
        <w:numPr>
          <w:ilvl w:val="0"/>
          <w:numId w:val="36"/>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Because the pandemic coincides with an uptick in the use of commercial sites associated with academic dishonesty (e.g., Chegg), maybe consider including a brief overview and links to additional information and support for faculty?</w:t>
      </w:r>
    </w:p>
    <w:p w14:paraId="54F76195" w14:textId="77777777" w:rsidR="005A3C0D" w:rsidRPr="005A3C0D" w:rsidRDefault="005A3C0D" w:rsidP="005A3C0D">
      <w:pPr>
        <w:numPr>
          <w:ilvl w:val="0"/>
          <w:numId w:val="36"/>
        </w:numPr>
        <w:shd w:val="clear" w:color="auto" w:fill="FFFFFF"/>
        <w:spacing w:before="100" w:beforeAutospacing="1" w:after="100" w:afterAutospacing="1"/>
        <w:rPr>
          <w:rFonts w:eastAsia="Times New Roman" w:cstheme="minorHAnsi"/>
          <w:color w:val="252423"/>
        </w:rPr>
      </w:pPr>
      <w:r w:rsidRPr="005A3C0D">
        <w:rPr>
          <w:rFonts w:eastAsia="Times New Roman" w:cstheme="minorHAnsi"/>
          <w:color w:val="252423"/>
        </w:rPr>
        <w:t>We have resources to help faculty increase their connections with students, now and after break. Glad to provide an overview, share links, or take whatever other steps may be helpful.</w:t>
      </w:r>
    </w:p>
    <w:p w14:paraId="316761FA"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Discussion on positive communication within the classroom.</w:t>
      </w:r>
    </w:p>
    <w:p w14:paraId="66268D48"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7006FEB6"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b/>
          <w:bCs/>
          <w:color w:val="252423"/>
        </w:rPr>
        <w:t>Discussion on Spring Section Requests</w:t>
      </w:r>
      <w:r w:rsidRPr="005A3C0D">
        <w:rPr>
          <w:rFonts w:eastAsia="Times New Roman" w:cstheme="minorHAnsi"/>
          <w:color w:val="252423"/>
        </w:rPr>
        <w:t> - What would be the process for reviewing requests? How do we want to review? What is the amount available for allocation? Deans serving on the committee would vet the requests. Lise Youngblade noted that WCNR has not submitted their request.</w:t>
      </w:r>
    </w:p>
    <w:p w14:paraId="57667A1C"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116776E4" w14:textId="6409BF7D"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xml:space="preserve">We should have all the Colleges review their submitted requests prior to </w:t>
      </w:r>
      <w:r w:rsidR="006B15AB" w:rsidRPr="005A3C0D">
        <w:rPr>
          <w:rFonts w:eastAsia="Times New Roman" w:cstheme="minorHAnsi"/>
          <w:color w:val="252423"/>
        </w:rPr>
        <w:t>review,</w:t>
      </w:r>
      <w:r w:rsidRPr="005A3C0D">
        <w:rPr>
          <w:rFonts w:eastAsia="Times New Roman" w:cstheme="minorHAnsi"/>
          <w:color w:val="252423"/>
        </w:rPr>
        <w:t xml:space="preserve"> as there was some commingling on course capacity funds. If needed, we could ask Colleges to review, prioritize, and reduce their requests if funds are limited. </w:t>
      </w:r>
    </w:p>
    <w:p w14:paraId="4948BFD3"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06F3E7EF" w14:textId="2735C18E"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xml:space="preserve">Kelly Long noted a concern with the increase of GTA requests. The purpose is to extend the on-campus teaching. We have to be aware of the concerns of the contingent and continuing contract faculty and GTAs who feel that they disproportionately carry the </w:t>
      </w:r>
      <w:r w:rsidR="006B15AB" w:rsidRPr="005A3C0D">
        <w:rPr>
          <w:rFonts w:eastAsia="Times New Roman" w:cstheme="minorHAnsi"/>
          <w:color w:val="252423"/>
        </w:rPr>
        <w:t>weight</w:t>
      </w:r>
      <w:r w:rsidRPr="005A3C0D">
        <w:rPr>
          <w:rFonts w:eastAsia="Times New Roman" w:cstheme="minorHAnsi"/>
          <w:color w:val="252423"/>
        </w:rPr>
        <w:t xml:space="preserve"> of on-campus teaching. We need to be mindful of this voice as we consider requests for GTA increases.</w:t>
      </w:r>
    </w:p>
    <w:p w14:paraId="56156CFA"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0F0292A8"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Beth Walker noted we could be screening for requests that should not be included. She mentioned we could clarify the parameters of the requests. She noted the faculty survey would be useful in identifying faculty who disproportionately teach in-person such as GTAs. We would have a real assessment rather than anecdotal.</w:t>
      </w:r>
    </w:p>
    <w:p w14:paraId="70C0F6B8"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35C5D9D2"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Sue Doe had opened the conversation of the impacts on NTTF with CoTL.</w:t>
      </w:r>
    </w:p>
    <w:p w14:paraId="02421334"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3BE75110"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b/>
          <w:bCs/>
          <w:color w:val="252423"/>
        </w:rPr>
        <w:t>Update from RO</w:t>
      </w:r>
      <w:r w:rsidRPr="005A3C0D">
        <w:rPr>
          <w:rFonts w:eastAsia="Times New Roman" w:cstheme="minorHAnsi"/>
          <w:color w:val="252423"/>
        </w:rPr>
        <w:t> - Julia Murphy noted that the summer schedule would be released on October 23. RO would not release specific guidelines to departments.</w:t>
      </w:r>
    </w:p>
    <w:p w14:paraId="341D9BDF"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6EF1884F"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In addition, we need to begin discussing the fall schedule as it release three weeks after summer. Fall schedule could be released in early December (December 4 to 8). Departments would have a month to review schedules. </w:t>
      </w:r>
    </w:p>
    <w:p w14:paraId="430737C9" w14:textId="77777777" w:rsidR="005A3C0D" w:rsidRPr="005A3C0D" w:rsidRDefault="005A3C0D" w:rsidP="005A3C0D">
      <w:pPr>
        <w:shd w:val="clear" w:color="auto" w:fill="FFFFFF"/>
        <w:rPr>
          <w:rFonts w:eastAsia="Times New Roman" w:cstheme="minorHAnsi"/>
          <w:color w:val="252423"/>
        </w:rPr>
      </w:pPr>
      <w:r w:rsidRPr="005A3C0D">
        <w:rPr>
          <w:rFonts w:eastAsia="Times New Roman" w:cstheme="minorHAnsi"/>
          <w:color w:val="252423"/>
        </w:rPr>
        <w:t> </w:t>
      </w:r>
    </w:p>
    <w:p w14:paraId="13820C23" w14:textId="41892AD9" w:rsidR="008435AF" w:rsidRPr="005A3C0D" w:rsidRDefault="005A3C0D" w:rsidP="005A3C0D">
      <w:pPr>
        <w:shd w:val="clear" w:color="auto" w:fill="FFFFFF"/>
        <w:rPr>
          <w:rStyle w:val="eop"/>
          <w:rFonts w:eastAsia="Times New Roman" w:cstheme="minorHAnsi"/>
          <w:color w:val="252423"/>
        </w:rPr>
      </w:pPr>
      <w:r w:rsidRPr="005A3C0D">
        <w:rPr>
          <w:rFonts w:eastAsia="Times New Roman" w:cstheme="minorHAnsi"/>
          <w:color w:val="252423"/>
        </w:rPr>
        <w:t>What is the plan for summer? No decision has been made. We had only made a decision on the dates. It is hoped that we could model fall and spring with F2F, hybrid, and online course offerings. </w:t>
      </w:r>
    </w:p>
    <w:sectPr w:rsidR="008435AF" w:rsidRPr="005A3C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21"/>
  </w:num>
  <w:num w:numId="3">
    <w:abstractNumId w:val="4"/>
  </w:num>
  <w:num w:numId="4">
    <w:abstractNumId w:val="20"/>
  </w:num>
  <w:num w:numId="5">
    <w:abstractNumId w:val="13"/>
  </w:num>
  <w:num w:numId="6">
    <w:abstractNumId w:val="5"/>
  </w:num>
  <w:num w:numId="7">
    <w:abstractNumId w:val="27"/>
  </w:num>
  <w:num w:numId="8">
    <w:abstractNumId w:val="9"/>
  </w:num>
  <w:num w:numId="9">
    <w:abstractNumId w:val="31"/>
  </w:num>
  <w:num w:numId="10">
    <w:abstractNumId w:val="33"/>
  </w:num>
  <w:num w:numId="11">
    <w:abstractNumId w:val="1"/>
  </w:num>
  <w:num w:numId="12">
    <w:abstractNumId w:val="6"/>
  </w:num>
  <w:num w:numId="13">
    <w:abstractNumId w:val="15"/>
  </w:num>
  <w:num w:numId="14">
    <w:abstractNumId w:val="34"/>
  </w:num>
  <w:num w:numId="15">
    <w:abstractNumId w:val="2"/>
  </w:num>
  <w:num w:numId="16">
    <w:abstractNumId w:val="29"/>
  </w:num>
  <w:num w:numId="17">
    <w:abstractNumId w:val="0"/>
  </w:num>
  <w:num w:numId="18">
    <w:abstractNumId w:val="16"/>
  </w:num>
  <w:num w:numId="19">
    <w:abstractNumId w:val="12"/>
  </w:num>
  <w:num w:numId="20">
    <w:abstractNumId w:val="28"/>
  </w:num>
  <w:num w:numId="21">
    <w:abstractNumId w:val="14"/>
  </w:num>
  <w:num w:numId="22">
    <w:abstractNumId w:val="7"/>
  </w:num>
  <w:num w:numId="23">
    <w:abstractNumId w:val="22"/>
  </w:num>
  <w:num w:numId="24">
    <w:abstractNumId w:val="23"/>
  </w:num>
  <w:num w:numId="25">
    <w:abstractNumId w:val="10"/>
  </w:num>
  <w:num w:numId="26">
    <w:abstractNumId w:val="30"/>
  </w:num>
  <w:num w:numId="27">
    <w:abstractNumId w:val="18"/>
  </w:num>
  <w:num w:numId="28">
    <w:abstractNumId w:val="35"/>
  </w:num>
  <w:num w:numId="29">
    <w:abstractNumId w:val="19"/>
  </w:num>
  <w:num w:numId="30">
    <w:abstractNumId w:val="8"/>
  </w:num>
  <w:num w:numId="31">
    <w:abstractNumId w:val="24"/>
  </w:num>
  <w:num w:numId="32">
    <w:abstractNumId w:val="3"/>
  </w:num>
  <w:num w:numId="33">
    <w:abstractNumId w:val="11"/>
  </w:num>
  <w:num w:numId="34">
    <w:abstractNumId w:val="17"/>
  </w:num>
  <w:num w:numId="35">
    <w:abstractNumId w:val="25"/>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93"/>
    <w:rsid w:val="00262FA4"/>
    <w:rsid w:val="00273718"/>
    <w:rsid w:val="0029462D"/>
    <w:rsid w:val="002F1FCA"/>
    <w:rsid w:val="00342C39"/>
    <w:rsid w:val="00363A00"/>
    <w:rsid w:val="00392DD0"/>
    <w:rsid w:val="003A39CC"/>
    <w:rsid w:val="0046766E"/>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803A2"/>
    <w:rsid w:val="007964D4"/>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2006/metadata/properties"/>
    <ds:schemaRef ds:uri="http://purl.org/dc/elements/1.1/"/>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201C7-F819-45C6-9C22-1AAB3B53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2020-10-16T16:31:00Z</dcterms:created>
  <dcterms:modified xsi:type="dcterms:W3CDTF">2020-10-16T16:35:00Z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